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pStyle w:val="Title"/>
      </w:pPr>
      <w:r>
        <w:t xml:space="preserve">Offerte: verbetertraject leverbetrouwbaarheid voor Van Dijk Metaal</w:t>
      </w:r>
    </w:p>
    <w:p>
      <w:pPr>
        <w:spacing w:after="40"/>
      </w:pPr>
      <w:r>
        <w:rPr>
          <w:b/>
        </w:rPr>
        <w:t xml:space="preserve">Van: </w:t>
      </w:r>
      <w:r>
        <w:t xml:space="preserve">Brandt &amp; Meijer Organisatieadvies, Eindhoven</w:t>
      </w:r>
    </w:p>
    <w:p>
      <w:pPr>
        <w:spacing w:after="40"/>
      </w:pPr>
      <w:r>
        <w:rPr>
          <w:b/>
        </w:rPr>
        <w:t xml:space="preserve">Aan: </w:t>
      </w:r>
      <w:r>
        <w:t xml:space="preserve">Van Dijk Metaal, Oss</w:t>
      </w:r>
    </w:p>
    <w:p>
      <w:pPr>
        <w:spacing w:after="40"/>
      </w:pPr>
      <w:r>
        <w:rPr>
          <w:b/>
        </w:rPr>
        <w:t xml:space="preserve">Datum: </w:t>
      </w:r>
      <w:r>
        <w:t xml:space="preserve">24 september 2026</w:t>
      </w:r>
    </w:p>
    <w:p>
      <w:pPr>
        <w:spacing w:after="40"/>
      </w:pPr>
      <w:r>
        <w:rPr>
          <w:b/>
        </w:rPr>
        <w:t xml:space="preserve">Referentie: </w:t>
      </w:r>
      <w:r>
        <w:t xml:space="preserve">BM-2026-087</w:t>
      </w:r>
    </w:p>
    <w:p>
      <w:pPr>
        <w:spacing w:after="40"/>
      </w:pPr>
      <w:r>
        <w:rPr>
          <w:b/>
        </w:rPr>
        <w:t xml:space="preserve">Geldig tot: </w:t>
      </w:r>
      <w:r>
        <w:t xml:space="preserve">24 oktober 2026</w:t>
      </w:r>
    </w:p>
    <w:p>
      <w:pPr>
        <w:spacing w:after="160"/>
      </w:pPr>
      <w:r>
        <w:t xml:space="preserve"/>
      </w:r>
    </w:p>
    <w:p>
      <w:pPr>
        <w:pStyle w:val="Heading1"/>
      </w:pPr>
      <w:r>
        <w:t xml:space="preserve">1. Aanleiding</w:t>
      </w:r>
    </w:p>
    <w:p>
      <w:r>
        <w:t xml:space="preserve">Van Dijk Metaal levert plaatwerk en constructies aan machinebouwers en groeide in vier jaar van 60 naar 118 medewerkers. In ons gesprek op 16 september noemde u twee cijfers: de leverbetrouwbaarheid staat op 74 procent en de productie draait structureel zes uur overwerk per ploeg per week. Orders blijven liggen tussen calculatie, werkvoorbereiding en productie, en niemand kan precies aanwijzen waar. U wilt weten waar de tijd verdwijnt voordat u investeert in extra machines of extra mensen.</w:t>
      </w:r>
    </w:p>
    <w:p>
      <w:pPr>
        <w:pStyle w:val="Heading1"/>
      </w:pPr>
      <w:r>
        <w:t xml:space="preserve">2. Doelstelling</w:t>
      </w:r>
    </w:p>
    <w:p>
      <w:r>
        <w:t xml:space="preserve">Aan het einde van het traject is de leverbetrouwbaarheid gestegen naar minimaal 90 procent en is het structurele overwerk teruggebracht tot maximaal twee uur per ploeg per week. Daarnaast heeft uw managementteam een wekelijkse stuurcyclus waarin doorlooptijd en levering op één A4 zichtbaar zijn. Wij leggen de startsituatie vast in een nulmeting, zodat het resultaat aan het einde met precies dezelfde cijfers wordt beoordeeld en niet op gevoel.</w:t>
      </w:r>
    </w:p>
    <w:p>
      <w:pPr>
        <w:pStyle w:val="Heading1"/>
      </w:pPr>
      <w:r>
        <w:t xml:space="preserve">3. Aanpak en scope</w:t>
      </w:r>
    </w:p>
    <w:p>
      <w:r>
        <w:t xml:space="preserve">Fase 1, diagnose: tien dagen onderzoek met procesobservaties op de werkvloer, veertien interviews en een analyse van 400 orders uit de afgelopen zes maanden. Oplevering is een knelpuntenanalyse met de vijf grootste oorzaken, onderbouwd met cijfers. Fase 2, advies: een besluitdocument met drie verbeterrichtingen, elk met een verwacht effect, een doorlooptijd en de benodigde inzet van uw eigen mensen. Fase 3, implementatie: wij begeleiden de gekozen richting in tien dagen, met een nieuwe planningsstructuur en een weekstart per afdeling. Investeringen in software of machines vallen buiten deze offerte.</w:t>
      </w:r>
    </w:p>
    <w:p>
      <w:pPr>
        <w:pStyle w:val="Heading1"/>
      </w:pPr>
      <w:r>
        <w:t xml:space="preserve">4. Planning</w:t>
      </w:r>
    </w:p>
    <w:p>
      <w:r>
        <w:t xml:space="preserve">Na akkoord starten wij op 5 oktober met de diagnosefase, die loopt tot en met 6 november. Het besluitdocument presenteren wij op 19 november aan uw managementteam. U beslist uiterlijk 27 november of en hoe fase 3 doorgaat. De implementatiebegeleiding loopt van 1 december tot en met 27 februari 2027, met een eindmeting in de week van 8 maart 2027 en een slotpresentatie op 12 maart 2027.</w:t>
      </w:r>
    </w:p>
    <w:p>
      <w:pPr>
        <w:pStyle w:val="Heading1"/>
      </w:pPr>
      <w:r>
        <w:t xml:space="preserve">5. Investering</w:t>
      </w:r>
    </w:p>
    <w:p>
      <w:r>
        <w:t xml:space="preserve">De investering per fase staat in onderstaande tabel en is exclusief 21 procent btw. Wij rekenen een dagtarief van 1.150 euro en factureren per afgeronde fase met een betaaltermijn van 30 dagen. Fase 3 gaat pas van start na uw schriftelijke akkoord op het besluitdocument, u zit dus na fase 2 nergens aan vast. Reis- en verblijfkosten binnen Nederland zijn in de bedragen inbegrepen.</w:t>
      </w:r>
    </w:p>
    <w:p>
      <w:pPr>
        <w:pStyle w:val="Heading1"/>
      </w:pPr>
      <w:r>
        <w:t xml:space="preserve">6. Voorwaarden</w:t>
      </w:r>
    </w:p>
    <w:p>
      <w:r>
        <w:t xml:space="preserve">Deze offerte is geldig tot 24 oktober 2026. Voor de diagnose hebben wij toegang nodig tot uw ERP-gegevens en tot de werkvloer, en is uw werkvoorbereider gemiddeld vier uur per week beschikbaar als aanspreekpunt. Alle bedrijfsgegevens behandelen wij vertrouwelijk en wij ondertekenen desgewenst uw eigen geheimhoudingsverklaring. Het traject is per fase met een opzegtermijn van twee weken te beëindigen, u betaalt dan alleen de tot dan toe bestede dagen. Op de opdracht zijn onze algemene voorwaarden van toepassing.</w:t>
      </w:r>
    </w:p>
    <w:p>
      <w:pPr>
        <w:pStyle w:val="Heading1"/>
      </w:pPr>
      <w:r>
        <w:t xml:space="preserve">7. Volgende stap</w:t>
      </w:r>
    </w:p>
    <w:p>
      <w:r>
        <w:t xml:space="preserve">Kunt u zich vinden in deze aanpak? Onderteken dan onderaan dit document. Wij plannen daarna binnen een week een startoverleg met u en uw werkvoorbereider, en sturen u een korte lijst met gegevens die wij voor de nulmeting nodig hebben, zoals de orderhistorie en de urenregistratie van het afgelopen halfjaar. Heeft u eerst nog vragen over de scope of over de belasting voor uw team? Dan bel ik u graag deze week.</w:t>
      </w:r>
    </w:p>
    <w:tbl>
      <w:tblPr>
        <w:tblW w:w="9000" w:type="dxa"/>
        <w:tblBorders>
          <w:top w:val="single" w:sz="4" w:space="0" w:color="CBD5E1"/>
          <w:left w:val="single" w:sz="4" w:space="0" w:color="CBD5E1"/>
          <w:bottom w:val="single" w:sz="4" w:space="0" w:color="CBD5E1"/>
          <w:right w:val="single" w:sz="4" w:space="0" w:color="CBD5E1"/>
          <w:insideH w:val="single" w:sz="4" w:space="0" w:color="CBD5E1"/>
          <w:insideV w:val="single" w:sz="4" w:space="0" w:color="CBD5E1"/>
        </w:tblBorders>
      </w:tblPr>
      <w:tblGrid>
        <w:gridCol w:w="6000"/>
        <w:gridCol w:w="3000"/>
      </w:tblGrid>
      <w:tr>
        <w:tc>
          <w:tcPr>
            <w:tcW w:w="6000" w:type="dxa"/>
            <w:shd w:val="clear" w:color="auto" w:fill="1E3A5F"/>
          </w:tcPr>
          <w:p>
            <w:pPr>
              <w:jc w:val="left"/>
              <w:spacing w:after="0"/>
            </w:pPr>
            <w:r>
              <w:rPr>
                <w:b/>
                <w:color w:val="FFFFFF"/>
              </w:rPr>
              <w:t xml:space="preserve">Omschrijving</w:t>
            </w:r>
          </w:p>
        </w:tc>
        <w:tc>
          <w:tcPr>
            <w:tcW w:w="3000" w:type="dxa"/>
            <w:shd w:val="clear" w:color="auto" w:fill="1E3A5F"/>
          </w:tcPr>
          <w:p>
            <w:pPr>
              <w:jc w:val="right"/>
              <w:spacing w:after="0"/>
            </w:pPr>
            <w:r>
              <w:rPr>
                <w:b/>
                <w:color w:val="FFFFFF"/>
              </w:rPr>
              <w:t xml:space="preserve">Bedrag</w:t>
            </w:r>
          </w:p>
        </w:tc>
      </w:tr>
      <w:tr>
        <w:tc>
          <w:tcPr>
            <w:tcW w:w="6000" w:type="dxa"/>
          </w:tcPr>
          <w:p>
            <w:pPr>
              <w:jc w:val="left"/>
              <w:spacing w:after="0"/>
            </w:pPr>
            <w:r>
              <w:t xml:space="preserve">Fase 1, diagnose en nulmeting (tien dagen)</w:t>
            </w:r>
          </w:p>
        </w:tc>
        <w:tc>
          <w:tcPr>
            <w:tcW w:w="3000" w:type="dxa"/>
          </w:tcPr>
          <w:p>
            <w:pPr>
              <w:jc w:val="right"/>
              <w:spacing w:after="0"/>
            </w:pPr>
            <w:r>
              <w:t xml:space="preserve">€ 11.500,00</w:t>
            </w:r>
          </w:p>
        </w:tc>
      </w:tr>
      <w:tr>
        <w:tc>
          <w:tcPr>
            <w:tcW w:w="6000" w:type="dxa"/>
          </w:tcPr>
          <w:p>
            <w:pPr>
              <w:jc w:val="left"/>
              <w:spacing w:after="0"/>
            </w:pPr>
            <w:r>
              <w:t xml:space="preserve">Fase 2, advies en besluitdocument (zes dagen)</w:t>
            </w:r>
          </w:p>
        </w:tc>
        <w:tc>
          <w:tcPr>
            <w:tcW w:w="3000" w:type="dxa"/>
          </w:tcPr>
          <w:p>
            <w:pPr>
              <w:jc w:val="right"/>
              <w:spacing w:after="0"/>
            </w:pPr>
            <w:r>
              <w:t xml:space="preserve">€ 6.900,00</w:t>
            </w:r>
          </w:p>
        </w:tc>
      </w:tr>
      <w:tr>
        <w:tc>
          <w:tcPr>
            <w:tcW w:w="6000" w:type="dxa"/>
          </w:tcPr>
          <w:p>
            <w:pPr>
              <w:jc w:val="left"/>
              <w:spacing w:after="0"/>
            </w:pPr>
            <w:r>
              <w:t xml:space="preserve">Fase 3, implementatiebegeleiding (tien dagen)</w:t>
            </w:r>
          </w:p>
        </w:tc>
        <w:tc>
          <w:tcPr>
            <w:tcW w:w="3000" w:type="dxa"/>
          </w:tcPr>
          <w:p>
            <w:pPr>
              <w:jc w:val="right"/>
              <w:spacing w:after="0"/>
            </w:pPr>
            <w:r>
              <w:t xml:space="preserve">€ 11.500,00</w:t>
            </w:r>
          </w:p>
        </w:tc>
      </w:tr>
      <w:tr>
        <w:tc>
          <w:tcPr>
            <w:tcW w:w="6000" w:type="dxa"/>
          </w:tcPr>
          <w:p>
            <w:pPr>
              <w:jc w:val="left"/>
              <w:spacing w:after="0"/>
            </w:pPr>
            <w:r>
              <w:t xml:space="preserve">Meetopzet, stuurdashboard en eindmeting</w:t>
            </w:r>
          </w:p>
        </w:tc>
        <w:tc>
          <w:tcPr>
            <w:tcW w:w="3000" w:type="dxa"/>
          </w:tcPr>
          <w:p>
            <w:pPr>
              <w:jc w:val="right"/>
              <w:spacing w:after="0"/>
            </w:pPr>
            <w:r>
              <w:t xml:space="preserve">€ 2.400,00</w:t>
            </w:r>
          </w:p>
        </w:tc>
      </w:tr>
      <w:tr>
        <w:tc>
          <w:tcPr>
            <w:tcW w:w="6000" w:type="dxa"/>
            <w:shd w:val="clear" w:color="auto" w:fill="F1F5F9"/>
          </w:tcPr>
          <w:p>
            <w:pPr>
              <w:jc w:val="left"/>
              <w:spacing w:after="0"/>
            </w:pPr>
            <w:r>
              <w:rPr>
                <w:b/>
              </w:rPr>
              <w:t xml:space="preserve">Subtotaal excl. btw</w:t>
            </w:r>
          </w:p>
        </w:tc>
        <w:tc>
          <w:tcPr>
            <w:tcW w:w="3000" w:type="dxa"/>
            <w:shd w:val="clear" w:color="auto" w:fill="F1F5F9"/>
          </w:tcPr>
          <w:p>
            <w:pPr>
              <w:jc w:val="right"/>
              <w:spacing w:after="0"/>
            </w:pPr>
            <w:r>
              <w:rPr>
                <w:b/>
              </w:rPr>
              <w:t xml:space="preserve">€ 32.300,00</w:t>
            </w:r>
          </w:p>
        </w:tc>
      </w:tr>
      <w:tr>
        <w:tc>
          <w:tcPr>
            <w:tcW w:w="6000" w:type="dxa"/>
          </w:tcPr>
          <w:p>
            <w:pPr>
              <w:jc w:val="left"/>
              <w:spacing w:after="0"/>
            </w:pPr>
            <w:r>
              <w:t xml:space="preserve">Btw 21%</w:t>
            </w:r>
          </w:p>
        </w:tc>
        <w:tc>
          <w:tcPr>
            <w:tcW w:w="3000" w:type="dxa"/>
          </w:tcPr>
          <w:p>
            <w:pPr>
              <w:jc w:val="right"/>
              <w:spacing w:after="0"/>
            </w:pPr>
            <w:r>
              <w:t xml:space="preserve">€ 6.783,00</w:t>
            </w:r>
          </w:p>
        </w:tc>
      </w:tr>
      <w:tr>
        <w:tc>
          <w:tcPr>
            <w:tcW w:w="6000" w:type="dxa"/>
            <w:shd w:val="clear" w:color="auto" w:fill="F1F5F9"/>
          </w:tcPr>
          <w:p>
            <w:pPr>
              <w:jc w:val="left"/>
              <w:spacing w:after="0"/>
            </w:pPr>
            <w:r>
              <w:rPr>
                <w:b/>
              </w:rPr>
              <w:t xml:space="preserve">Totaal eenmalig incl. btw</w:t>
            </w:r>
          </w:p>
        </w:tc>
        <w:tc>
          <w:tcPr>
            <w:tcW w:w="3000" w:type="dxa"/>
            <w:shd w:val="clear" w:color="auto" w:fill="F1F5F9"/>
          </w:tcPr>
          <w:p>
            <w:pPr>
              <w:jc w:val="right"/>
              <w:spacing w:after="0"/>
            </w:pPr>
            <w:r>
              <w:rPr>
                <w:b/>
              </w:rPr>
              <w:t xml:space="preserve">€ 39.083,00</w:t>
            </w:r>
          </w:p>
        </w:tc>
      </w:tr>
    </w:tbl>
    <w:p>
      <w:pPr>
        <w:spacing w:after="160"/>
      </w:pPr>
      <w:r>
        <w:t xml:space="preserve"/>
      </w:r>
    </w:p>
    <w:p>
      <w:pPr>
        <w:pStyle w:val="Heading1"/>
      </w:pPr>
      <w:r>
        <w:t xml:space="preserve">Ondertekening</w:t>
      </w:r>
    </w:p>
    <w:p>
      <w:r>
        <w:rPr>
          <w:b/>
        </w:rPr>
        <w:t xml:space="preserve">Akkoord namens Van Dijk Metaal</w:t>
      </w:r>
    </w:p>
    <w:p>
      <w:pPr>
        <w:spacing w:after="80"/>
      </w:pPr>
      <w:r>
        <w:t xml:space="preserve">Naam: ______________________________</w:t>
      </w:r>
    </w:p>
    <w:p>
      <w:pPr>
        <w:spacing w:after="80"/>
      </w:pPr>
      <w:r>
        <w:t xml:space="preserve">Datum: _____________________________</w:t>
      </w:r>
    </w:p>
    <w:p>
      <w:pPr>
        <w:spacing w:after="240"/>
      </w:pPr>
      <w:r>
        <w:t xml:space="preserve">Handtekening: ______________________</w:t>
      </w:r>
    </w:p>
    <w:p>
      <w:r>
        <w:rPr>
          <w:i/>
          <w:color w:val="64748B"/>
          <w:sz w:val="18"/>
          <w:szCs w:val="18"/>
        </w:rPr>
        <w:t xml:space="preserve">Dit Word-document komt van proposal.expert. Vrij te gebruiken en aan te passen. Wil je de offerte online versturen, zien wanneer hij gelezen wordt en digitaal laten ondertekenen? Dat kan gratis op https://proposal.expert</w:t>
      </w:r>
    </w:p>
    <w:sectPr>
      <w:pgSz w:w="11906" w:h="16838"/>
      <w:pgMar w:top="1134" w:right="1134" w:bottom="1134" w:left="1134" w:header="709" w:footer="709" w:gutter="0"/>
    </w:sectPr>
  </w:body>
</w:document>
</file>

<file path=word/numbering.xml><?xml version="1.0" encoding="utf-8"?>
<w:numbering xmlns:w="http://schemas.openxmlformats.org/wordprocessingml/2006/main">
  <w:abstractNum w:abstractNumId="0">
    <w:multiLevelType w:val="hybridMultilevel"/>
    <w:lvl w:ilvl="0">
      <w:start w:val="1"/>
      <w:numFmt w:val="bullet"/>
      <w:lvlText w:val="•"/>
      <w:lvlJc w:val="left"/>
      <w:pPr>
        <w:ind w:left="720" w:hanging="360"/>
      </w:pPr>
      <w:rPr>
        <w:rFonts w:ascii="Symbol" w:hAnsi="Symbol" w:hint="default"/>
      </w:rPr>
    </w:lvl>
  </w:abstractNum>
  <w:num w:numId="1">
    <w:abstractNumId w:val="0"/>
  </w:num>
</w:numbering>
</file>

<file path=word/styles.xml><?xml version="1.0" encoding="utf-8"?>
<w:styles xmlns:w="http://schemas.openxmlformats.org/wordprocessingml/2006/main">
  <w:docDefaults>
    <w:rPrDefault>
      <w:rPr>
        <w:rFonts w:ascii="Calibri" w:hAnsi="Calibri" w:cs="Calibri"/>
        <w:sz w:val="22"/>
        <w:szCs w:val="22"/>
      </w:rPr>
    </w:rPrDefault>
    <w:pPrDefault>
      <w:pPr>
        <w:spacing w:after="160" w:line="276" w:lineRule="auto"/>
      </w:pPr>
    </w:pPrDefault>
  </w:docDefaults>
  <w:style w:type="paragraph" w:default="1" w:styleId="Normal">
    <w:name w:val="Normal"/>
    <w:qFormat/>
  </w:style>
  <w:style w:type="paragraph" w:styleId="Title">
    <w:name w:val="Title"/>
    <w:basedOn w:val="Normal"/>
    <w:qFormat/>
    <w:pPr>
      <w:spacing w:after="240"/>
    </w:pPr>
    <w:rPr>
      <w:rFonts w:ascii="Calibri" w:hAnsi="Calibri"/>
      <w:b/>
      <w:color w:val="1E3A5F"/>
      <w:sz w:val="52"/>
      <w:szCs w:val="52"/>
    </w:rPr>
  </w:style>
  <w:style w:type="paragraph" w:styleId="Heading1">
    <w:name w:val="heading 1"/>
    <w:basedOn w:val="Normal"/>
    <w:qFormat/>
    <w:pPr>
      <w:keepNext/>
      <w:spacing w:before="320" w:after="120"/>
      <w:outlineLvl w:val="0"/>
    </w:pPr>
    <w:rPr>
      <w:b/>
      <w:color w:val="1E3A5F"/>
      <w:sz w:val="30"/>
      <w:szCs w:val="30"/>
    </w:rPr>
  </w:style>
  <w:style w:type="paragraph" w:styleId="ListParagraph">
    <w:name w:val="List Paragraph"/>
    <w:basedOn w:val="Normal"/>
    <w:qFormat/>
    <w:pPr>
      <w:spacing w:after="60"/>
      <w:contextualSpacing/>
    </w:p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s>
</file>

<file path=docProps/app.xml><?xml version="1.0" encoding="utf-8"?>
<Properties xmlns="http://schemas.openxmlformats.org/officeDocument/2006/extended-properties" xmlns:vt="http://schemas.openxmlformats.org/officeDocument/2006/docPropsVTypes">
  <Application>Proposal Expert</Application>
  <Company>Proposal Expert</Company>
</Properties>
</file>

<file path=docProps/core.xml><?xml version="1.0" encoding="utf-8"?>
<cp:coreProperties xmlns:cp="http://schemas.openxmlformats.org/package/2006/metadata/core-properties" xmlns:dc="http://purl.org/dc/elements/1.1/" xmlns:dcterms="http://purl.org/dc/terms/" xmlns:xsi="http://www.w3.org/2001/XMLSchema-instance">
  <dc:title>Offerte: verbetertraject leverbetrouwbaarheid voor Van Dijk Metaal</dc:title>
  <dc:creator>Proposal Expert</dc:creator>
  <cp:lastModifiedBy>Proposal Expert</cp:lastModifiedBy>
  <dcterms:created xsi:type="dcterms:W3CDTF">2026-01-01T00:00:00Z</dcterms:created>
  <dcterms:modified xsi:type="dcterms:W3CDTF">2026-01-01T00:00:00Z</dcterms:modified>
</cp:coreProperties>
</file>