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migratie naar Microsoft 365 en beheerde werkplek voor Van Rooij Techniek</w:t>
      </w:r>
    </w:p>
    <w:p>
      <w:pPr>
        <w:spacing w:after="40"/>
      </w:pPr>
      <w:r>
        <w:rPr>
          <w:b/>
        </w:rPr>
        <w:t xml:space="preserve">Van: </w:t>
      </w:r>
      <w:r>
        <w:t xml:space="preserve">Hexabit ICT, Eindhoven</w:t>
      </w:r>
    </w:p>
    <w:p>
      <w:pPr>
        <w:spacing w:after="40"/>
      </w:pPr>
      <w:r>
        <w:rPr>
          <w:b/>
        </w:rPr>
        <w:t xml:space="preserve">Aan: </w:t>
      </w:r>
      <w:r>
        <w:t xml:space="preserve">Van Rooij Techniek, Helmond</w:t>
      </w:r>
    </w:p>
    <w:p>
      <w:pPr>
        <w:spacing w:after="40"/>
      </w:pPr>
      <w:r>
        <w:rPr>
          <w:b/>
        </w:rPr>
        <w:t xml:space="preserve">Datum: </w:t>
      </w:r>
      <w:r>
        <w:t xml:space="preserve">30 september 2026</w:t>
      </w:r>
    </w:p>
    <w:p>
      <w:pPr>
        <w:spacing w:after="40"/>
      </w:pPr>
      <w:r>
        <w:rPr>
          <w:b/>
        </w:rPr>
        <w:t xml:space="preserve">Referentie: </w:t>
      </w:r>
      <w:r>
        <w:t xml:space="preserve">HB-2026-214</w:t>
      </w:r>
    </w:p>
    <w:p>
      <w:pPr>
        <w:spacing w:after="40"/>
      </w:pPr>
      <w:r>
        <w:rPr>
          <w:b/>
        </w:rPr>
        <w:t xml:space="preserve">Geldig tot: </w:t>
      </w:r>
      <w:r>
        <w:t xml:space="preserve">30 oktober 2026</w:t>
      </w:r>
    </w:p>
    <w:p>
      <w:pPr>
        <w:spacing w:after="160"/>
      </w:pPr>
      <w:r>
        <w:t xml:space="preserve"/>
      </w:r>
    </w:p>
    <w:p>
      <w:pPr>
        <w:pStyle w:val="Heading1"/>
      </w:pPr>
      <w:r>
        <w:t xml:space="preserve">1. Aanleiding</w:t>
      </w:r>
    </w:p>
    <w:p>
      <w:r>
        <w:t xml:space="preserve">Van Rooij Techniek werkt met 85 medewerkers op twee locaties en heeft een fileserver uit 2019 die in de meterkast van Helmond staat. De mailserver loopt nog op Exchange 2016, waarvoor Microsoft geen updates meer levert. In het gesprek van 22 september gaf uw operationeel manager aan dat monteurs buiten de deur niet bij tekeningen kunnen en dat de server twee keer per maand vastloopt. De onderhoudsleverancier stopt per 1 januari 2027.</w:t>
      </w:r>
    </w:p>
    <w:p>
      <w:pPr>
        <w:pStyle w:val="Heading1"/>
      </w:pPr>
      <w:r>
        <w:t xml:space="preserve">2. Doelstelling</w:t>
      </w:r>
    </w:p>
    <w:p>
      <w:r>
        <w:t xml:space="preserve">Alle bestanden en e-mail staan uiterlijk 1 december 2026 in Microsoft 365, zodat monteurs op locatie met hun telefoon bij tekeningen en werkbonnen kunnen. De fysieke fileserver kan daarna uit. Na de migratie beheren wij de werkplekken, zodat storingen binnen vier werkuren worden opgepakt en nieuwe medewerkers binnen een werkdag een ingerichte laptop hebben. Het aantal serverstoringen gaat naar nul.</w:t>
      </w:r>
    </w:p>
    <w:p>
      <w:pPr>
        <w:pStyle w:val="Heading1"/>
      </w:pPr>
      <w:r>
        <w:t xml:space="preserve">3. Aanpak en scope</w:t>
      </w:r>
    </w:p>
    <w:p>
      <w:r>
        <w:t xml:space="preserve">Fase 1, inventarisatie: wij leggen de 85 accounts, 14 groepsmappen, 2,1 TB data en de bestaande netwerkapparatuur vast. Fase 2, inrichting: Microsoft 365 tenant, Entra ID, mappenstructuur in SharePoint en beveiligingsbeleid met multifactorauthenticatie. Fase 3, migratie: mailboxen in twee weekendslots, data in drie batches per afdeling. Fase 4, beheer: monitoring, updates, helpdesk en jaarlijks een adviesgesprek. Wij gaan ervan uit dat de glasvezelverbinding in Helmond blijft zoals die is en dat de calculatiesoftware op de bestaande terminalserver blijft draaien. Vervanging van laptops en firewalls valt buiten deze offerte.</w:t>
      </w:r>
    </w:p>
    <w:p>
      <w:pPr>
        <w:pStyle w:val="Heading1"/>
      </w:pPr>
      <w:r>
        <w:t xml:space="preserve">4. Planning</w:t>
      </w:r>
    </w:p>
    <w:p>
      <w:r>
        <w:t xml:space="preserve">Na akkoord starten wij op 12 oktober met de inventarisatie, die twee weken duurt. De inrichting van de tenant loopt van 26 oktober tot 13 november. De mail migreren wij in de weekenden van 21 en 28 november, de data in de drie weken daarna. Op 18 december is de fileserver uit bedrijf. Het beheercontract start op 1 januari 2027, precies wanneer uw huidige onderhoudscontract eindigt.</w:t>
      </w:r>
    </w:p>
    <w:p>
      <w:pPr>
        <w:pStyle w:val="Heading1"/>
      </w:pPr>
      <w:r>
        <w:t xml:space="preserve">5. Investering</w:t>
      </w:r>
    </w:p>
    <w:p>
      <w:r>
        <w:t xml:space="preserve">De tabel splitst eenmalige en terugkerende kosten. De eerste twee regels zijn eenmalig en factureren wij na oplevering van de betreffende fase. De derde regel is een vast bedrag per gebruiker per maand voor beheer, bij 85 gebruikers komt dat op 2.550 euro per maand. De vierde regel is de doorbelasting van de Microsoft 365 Business Premium licenties per gebruiker per maand. Terugkerende kosten factureren wij per kwartaal vooruit. Alle bedragen zijn exclusief 21 procent btw, de betaaltermijn is 14 dagen.</w:t>
      </w:r>
    </w:p>
    <w:p>
      <w:pPr>
        <w:pStyle w:val="Heading1"/>
      </w:pPr>
      <w:r>
        <w:t xml:space="preserve">6. Voorwaarden</w:t>
      </w:r>
    </w:p>
    <w:p>
      <w:r>
        <w:t xml:space="preserve">Deze offerte is geldig tot 30 oktober 2026. Het beheercontract heeft een looptijd van 36 maanden met een opzegtermijn van drie maanden, daarna is het maandelijks opzegbaar. Wijzigt het aantal gebruikers, dan passen wij de maandfactuur aan per de eerste van de volgende maand. Blijken tijdens de inventarisatie meer dan 3 TB data of extra maatwerkkoppelingen aanwezig, dan melden wij dat schriftelijk voordat wij verder gaan. Op de opdracht zijn onze algemene voorwaarden en onze verwerkersovereenkomst van toepassing.</w:t>
      </w:r>
    </w:p>
    <w:p>
      <w:pPr>
        <w:pStyle w:val="Heading1"/>
      </w:pPr>
      <w:r>
        <w:t xml:space="preserve">7. Volgende stap</w:t>
      </w:r>
    </w:p>
    <w:p>
      <w:r>
        <w:t xml:space="preserve">Bent u akkoord? Onderteken dan onderaan dit document. Wij plannen daarna binnen vijf werkdagen de inventarisatiedag in en sturen u een korte lijst met wat wij daarvoor nodig hebben, zoals toegang tot de huidige server, het licentieoverzicht en een contactpersoon per afdeling. Wilt u eerst een proefopstelling zien voor tien medewerkers, dan richten wij die in twee weken in tegen 950 euro, verrekenbaar met de eenmalige kosten.</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Eenmalige kosten</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Eenmalig: inventarisatie, inrichting Microsoft 365 en beveiligingsbeleid</w:t>
            </w:r>
          </w:p>
        </w:tc>
        <w:tc>
          <w:tcPr>
            <w:tcW w:w="3000" w:type="dxa"/>
          </w:tcPr>
          <w:p>
            <w:pPr>
              <w:jc w:val="right"/>
              <w:spacing w:after="0"/>
            </w:pPr>
            <w:r>
              <w:t xml:space="preserve">€ 8.750,00</w:t>
            </w:r>
          </w:p>
        </w:tc>
      </w:tr>
      <w:tr>
        <w:tc>
          <w:tcPr>
            <w:tcW w:w="6000" w:type="dxa"/>
          </w:tcPr>
          <w:p>
            <w:pPr>
              <w:jc w:val="left"/>
              <w:spacing w:after="0"/>
            </w:pPr>
            <w:r>
              <w:t xml:space="preserve">Eenmalig: migratie van mail en 2,1 TB data, inclusief weekendwerk</w:t>
            </w:r>
          </w:p>
        </w:tc>
        <w:tc>
          <w:tcPr>
            <w:tcW w:w="3000" w:type="dxa"/>
          </w:tcPr>
          <w:p>
            <w:pPr>
              <w:jc w:val="right"/>
              <w:spacing w:after="0"/>
            </w:pPr>
            <w:r>
              <w:t xml:space="preserve">€ 6.400,00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€ 15.150,00</w:t>
            </w:r>
          </w:p>
        </w:tc>
      </w:tr>
      <w:tr>
        <w:tc>
          <w:tcPr>
            <w:tcW w:w="6000" w:type="dxa"/>
          </w:tcPr>
          <w:p>
            <w:pPr>
              <w:jc w:val="left"/>
              <w:spacing w:after="0"/>
            </w:pPr>
            <w:r>
              <w:t xml:space="preserve">Btw 21%</w:t>
            </w:r>
          </w:p>
        </w:tc>
        <w:tc>
          <w:tcPr>
            <w:tcW w:w="3000" w:type="dxa"/>
          </w:tcPr>
          <w:p>
            <w:pPr>
              <w:jc w:val="right"/>
              <w:spacing w:after="0"/>
            </w:pPr>
            <w:r>
              <w:t xml:space="preserve">€ 3.181,50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€ 18.331,50</w:t>
            </w:r>
          </w:p>
        </w:tc>
      </w:tr>
    </w:tbl>
    <w:p>
      <w:pPr>
        <w:spacing w:after="160"/>
      </w:pPr>
      <w:r>
        <w:t xml:space="preserve"/>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Doorlopende kosten</w:t>
            </w:r>
          </w:p>
        </w:tc>
        <w:tc>
          <w:tcPr>
            <w:tcW w:w="3000" w:type="dxa"/>
            <w:shd w:val="clear" w:color="auto" w:fill="1E3A5F"/>
          </w:tcPr>
          <w:p>
            <w:pPr>
              <w:jc w:val="right"/>
              <w:spacing w:after="0"/>
            </w:pPr>
            <w:r>
              <w:rPr>
                <w:b/>
                <w:color w:val="FFFFFF"/>
              </w:rPr>
              <w:t xml:space="preserve">Bedrag excl. btw</w:t>
            </w:r>
          </w:p>
        </w:tc>
      </w:tr>
      <w:tr>
        <w:tc>
          <w:tcPr>
            <w:tcW w:w="6000" w:type="dxa"/>
          </w:tcPr>
          <w:p>
            <w:pPr>
              <w:jc w:val="left"/>
              <w:spacing w:after="0"/>
            </w:pPr>
            <w:r>
              <w:t xml:space="preserve">Beheerde werkplek, per gebruiker per maand</w:t>
            </w:r>
          </w:p>
        </w:tc>
        <w:tc>
          <w:tcPr>
            <w:tcW w:w="3000" w:type="dxa"/>
          </w:tcPr>
          <w:p>
            <w:pPr>
              <w:jc w:val="right"/>
              <w:spacing w:after="0"/>
            </w:pPr>
            <w:r>
              <w:t xml:space="preserve">€ 30,00</w:t>
            </w:r>
          </w:p>
        </w:tc>
      </w:tr>
      <w:tr>
        <w:tc>
          <w:tcPr>
            <w:tcW w:w="6000" w:type="dxa"/>
          </w:tcPr>
          <w:p>
            <w:pPr>
              <w:jc w:val="left"/>
              <w:spacing w:after="0"/>
            </w:pPr>
            <w:r>
              <w:t xml:space="preserve">Microsoft 365 Business Premium, per gebruiker per maand</w:t>
            </w:r>
          </w:p>
        </w:tc>
        <w:tc>
          <w:tcPr>
            <w:tcW w:w="3000" w:type="dxa"/>
          </w:tcPr>
          <w:p>
            <w:pPr>
              <w:jc w:val="right"/>
              <w:spacing w:after="0"/>
            </w:pPr>
            <w:r>
              <w:t xml:space="preserve">€ 22,00</w:t>
            </w:r>
          </w:p>
        </w:tc>
      </w:tr>
    </w:tbl>
    <w:p>
      <w:pPr>
        <w:spacing w:after="160"/>
      </w:pPr>
      <w:r>
        <w:t xml:space="preserve"/>
      </w:r>
    </w:p>
    <w:p>
      <w:pPr>
        <w:pStyle w:val="Heading1"/>
      </w:pPr>
      <w:r>
        <w:t xml:space="preserve">Ondertekening</w:t>
      </w:r>
    </w:p>
    <w:p>
      <w:r>
        <w:rPr>
          <w:b/>
        </w:rPr>
        <w:t xml:space="preserve">Akkoord namens Van Rooij Techniek</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migratie naar Microsoft 365 en beheerde werkplek voor Van Rooij Techniek</dc:title>
  <dc:creator>Proposal Expert</dc:creator>
  <cp:lastModifiedBy>Proposal Expert</cp:lastModifiedBy>
  <dcterms:created xsi:type="dcterms:W3CDTF">2026-01-01T00:00:00Z</dcterms:created>
  <dcterms:modified xsi:type="dcterms:W3CDTF">2026-01-01T00:00:00Z</dcterms:modified>
</cp:coreProperties>
</file>